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72AE4" w14:textId="5CDD3EFE" w:rsidR="00E8410C" w:rsidRPr="00D669E1" w:rsidRDefault="00E8410C" w:rsidP="00E8410C">
      <w:pPr>
        <w:rPr>
          <w:sz w:val="24"/>
          <w:lang w:val="de-DE"/>
        </w:rPr>
      </w:pPr>
      <w:r w:rsidRPr="00EF3261">
        <w:rPr>
          <w:b/>
          <w:sz w:val="24"/>
          <w:lang w:val="de-DE"/>
        </w:rPr>
        <w:t>AmBisome</w:t>
      </w:r>
      <w:r w:rsidRPr="00EF3261">
        <w:rPr>
          <w:b/>
          <w:sz w:val="28"/>
          <w:vertAlign w:val="superscript"/>
          <w:lang w:val="de-DE"/>
        </w:rPr>
        <w:sym w:font="Symbol" w:char="F0E2"/>
      </w:r>
      <w:r w:rsidRPr="00EF3261">
        <w:rPr>
          <w:b/>
          <w:bCs/>
          <w:iCs/>
          <w:noProof/>
          <w:lang w:val="de-DE"/>
        </w:rPr>
        <w:t xml:space="preserve"> </w:t>
      </w:r>
      <w:r w:rsidR="00307C3C">
        <w:rPr>
          <w:b/>
          <w:sz w:val="24"/>
          <w:lang w:val="de-DE"/>
        </w:rPr>
        <w:t>liposomal</w:t>
      </w:r>
      <w:r w:rsidR="004A1C40" w:rsidRPr="00307C3C">
        <w:rPr>
          <w:b/>
          <w:sz w:val="24"/>
          <w:lang w:val="de-DE"/>
        </w:rPr>
        <w:t xml:space="preserve"> </w:t>
      </w:r>
      <w:r w:rsidRPr="00EF3261">
        <w:rPr>
          <w:b/>
          <w:sz w:val="24"/>
          <w:lang w:val="de-DE"/>
        </w:rPr>
        <w:t>50 mg Pulver zur Herstellung einer Infusions</w:t>
      </w:r>
      <w:r w:rsidR="004A1C40">
        <w:rPr>
          <w:b/>
          <w:sz w:val="24"/>
          <w:lang w:val="de-DE"/>
        </w:rPr>
        <w:t>dispersion</w:t>
      </w:r>
      <w:r>
        <w:rPr>
          <w:b/>
          <w:sz w:val="24"/>
          <w:lang w:val="de-DE"/>
        </w:rPr>
        <w:br/>
      </w:r>
      <w:r w:rsidRPr="00EF3261">
        <w:rPr>
          <w:b/>
          <w:sz w:val="24"/>
          <w:lang w:val="de-DE"/>
        </w:rPr>
        <w:t>Wirkstoff</w:t>
      </w:r>
      <w:r w:rsidRPr="007D23CC">
        <w:rPr>
          <w:b/>
          <w:sz w:val="24"/>
          <w:lang w:val="de-DE"/>
        </w:rPr>
        <w:t xml:space="preserve">: </w:t>
      </w:r>
      <w:r w:rsidRPr="007D23CC">
        <w:rPr>
          <w:sz w:val="24"/>
          <w:lang w:val="de-DE"/>
        </w:rPr>
        <w:t>Amphotericin B</w:t>
      </w:r>
      <w:r>
        <w:rPr>
          <w:sz w:val="24"/>
          <w:lang w:val="de-DE"/>
        </w:rPr>
        <w:t>.</w:t>
      </w:r>
      <w:r w:rsidRPr="00EF3261">
        <w:rPr>
          <w:b/>
          <w:sz w:val="24"/>
          <w:lang w:val="de-DE"/>
        </w:rPr>
        <w:t xml:space="preserve"> Zusammensetzung:</w:t>
      </w:r>
      <w:r w:rsidRPr="00EF3261">
        <w:rPr>
          <w:sz w:val="24"/>
          <w:lang w:val="de-DE"/>
        </w:rPr>
        <w:t xml:space="preserve"> 1 Durch</w:t>
      </w:r>
      <w:r>
        <w:rPr>
          <w:sz w:val="24"/>
          <w:lang w:val="de-DE"/>
        </w:rPr>
        <w:softHyphen/>
      </w:r>
      <w:r w:rsidRPr="00EF3261">
        <w:rPr>
          <w:sz w:val="24"/>
          <w:lang w:val="de-DE"/>
        </w:rPr>
        <w:t>stechflasche mit 1,326 g Trockensubstanz enthält 50 mg in Liposomen verkapseltes Amphotericin B. Sonstige Bestandteile: Hydriertes (3-sn-Phosphatidyl)cholin (aus Sojabohnen), Cholesterol, Distearoylphosphatidylglycerol, all-rac-</w:t>
      </w:r>
      <w:r w:rsidRPr="00EF3261">
        <w:rPr>
          <w:sz w:val="24"/>
          <w:lang w:val="de-DE"/>
        </w:rPr>
        <w:sym w:font="Symbol" w:char="F061"/>
      </w:r>
      <w:r w:rsidRPr="00EF3261">
        <w:rPr>
          <w:sz w:val="24"/>
          <w:lang w:val="de-DE"/>
        </w:rPr>
        <w:t>-Tocopherol, Sucrose, Natriumsuccinat 6 H</w:t>
      </w:r>
      <w:r w:rsidRPr="00EF3261">
        <w:rPr>
          <w:sz w:val="24"/>
          <w:vertAlign w:val="subscript"/>
          <w:lang w:val="de-DE"/>
        </w:rPr>
        <w:t>2</w:t>
      </w:r>
      <w:r w:rsidRPr="00EF3261">
        <w:rPr>
          <w:sz w:val="24"/>
          <w:lang w:val="de-DE"/>
        </w:rPr>
        <w:t xml:space="preserve">0, Natriumhydroxid, Salzsäure. </w:t>
      </w:r>
      <w:r w:rsidRPr="00EF3261">
        <w:rPr>
          <w:b/>
          <w:bCs/>
          <w:sz w:val="24"/>
          <w:lang w:val="de-DE"/>
        </w:rPr>
        <w:t>Anwendungsgebiete:</w:t>
      </w:r>
      <w:r w:rsidRPr="00EF3261">
        <w:rPr>
          <w:sz w:val="24"/>
          <w:lang w:val="de-DE"/>
        </w:rPr>
        <w:t xml:space="preserve"> Behandlung von schweren systemischen oder tiefen Mykosen. Empirische Behandlung von vermuteten Pilzinfektion</w:t>
      </w:r>
      <w:r>
        <w:rPr>
          <w:sz w:val="24"/>
          <w:lang w:val="de-DE"/>
        </w:rPr>
        <w:t>en</w:t>
      </w:r>
      <w:r w:rsidRPr="00EF3261">
        <w:rPr>
          <w:sz w:val="24"/>
          <w:lang w:val="de-DE"/>
        </w:rPr>
        <w:t xml:space="preserve"> bei neutropenischen Patienten mit Fieber. Sekundärtherapie der viszeralen Leishmaniose (</w:t>
      </w:r>
      <w:r w:rsidRPr="003637BC">
        <w:rPr>
          <w:i/>
          <w:sz w:val="24"/>
          <w:lang w:val="de-DE"/>
        </w:rPr>
        <w:t>Leishmania donovani</w:t>
      </w:r>
      <w:r w:rsidRPr="00EF3261">
        <w:rPr>
          <w:sz w:val="24"/>
          <w:lang w:val="de-DE"/>
        </w:rPr>
        <w:t xml:space="preserve">) bei immunkompetenten Patienten und bei Patienten mit geschädigtem Immunsystem. Bei Patienten mit geschädigtem Immunsystem muss mit Rezidiven gerechnet werden. Es liegen keine Erfahrungen zur Rezidivprophylaxe vor. </w:t>
      </w:r>
      <w:r w:rsidRPr="00EF3261">
        <w:rPr>
          <w:b/>
          <w:bCs/>
          <w:sz w:val="24"/>
          <w:lang w:val="de-DE"/>
        </w:rPr>
        <w:t>Gegenanzeigen:</w:t>
      </w:r>
      <w:r w:rsidRPr="00EF3261">
        <w:rPr>
          <w:sz w:val="24"/>
          <w:lang w:val="de-DE"/>
        </w:rPr>
        <w:t xml:space="preserve"> Überempfindlichkeit gegen de</w:t>
      </w:r>
      <w:r>
        <w:rPr>
          <w:sz w:val="24"/>
          <w:lang w:val="de-DE"/>
        </w:rPr>
        <w:t>n</w:t>
      </w:r>
      <w:r w:rsidRPr="00EF3261">
        <w:rPr>
          <w:sz w:val="24"/>
          <w:lang w:val="de-DE"/>
        </w:rPr>
        <w:t xml:space="preserve"> Wirkstoff oder eine</w:t>
      </w:r>
      <w:r>
        <w:rPr>
          <w:sz w:val="24"/>
          <w:lang w:val="de-DE"/>
        </w:rPr>
        <w:t>n</w:t>
      </w:r>
      <w:r w:rsidRPr="00EF3261">
        <w:rPr>
          <w:sz w:val="24"/>
          <w:lang w:val="de-DE"/>
        </w:rPr>
        <w:t xml:space="preserve"> der sonstigen Bestandteile, außer wenn der Zustand des Patienten lebensbedrohlich ist und ausschließlich durch AmBisome verbessert werden kann. Frühere schwere anaphylaktische oder anaphylaktoide Reaktion unter AmBisome.</w:t>
      </w:r>
      <w:r>
        <w:rPr>
          <w:sz w:val="24"/>
          <w:lang w:val="de-DE"/>
        </w:rPr>
        <w:t xml:space="preserve"> </w:t>
      </w:r>
      <w:r w:rsidRPr="00592D89">
        <w:rPr>
          <w:b/>
          <w:sz w:val="24"/>
          <w:lang w:val="de-DE"/>
        </w:rPr>
        <w:t>Warnhinweise</w:t>
      </w:r>
      <w:r w:rsidRPr="00A56D0F">
        <w:rPr>
          <w:b/>
          <w:bCs/>
          <w:sz w:val="24"/>
          <w:lang w:val="de-DE"/>
        </w:rPr>
        <w:t>:</w:t>
      </w:r>
      <w:r>
        <w:rPr>
          <w:sz w:val="24"/>
          <w:lang w:val="de-DE"/>
        </w:rPr>
        <w:t xml:space="preserve"> </w:t>
      </w:r>
      <w:r w:rsidRPr="00592D89">
        <w:rPr>
          <w:sz w:val="24"/>
          <w:lang w:val="de-DE"/>
        </w:rPr>
        <w:t xml:space="preserve">AmBisome ist </w:t>
      </w:r>
      <w:r>
        <w:rPr>
          <w:sz w:val="24"/>
          <w:lang w:val="de-DE"/>
        </w:rPr>
        <w:t>nicht</w:t>
      </w:r>
      <w:r w:rsidRPr="00592D89">
        <w:rPr>
          <w:sz w:val="24"/>
          <w:lang w:val="de-DE"/>
        </w:rPr>
        <w:t xml:space="preserve"> austauschbar mit anderen Amphotericin-B-haltigen Arzneimitteln.</w:t>
      </w:r>
      <w:r>
        <w:rPr>
          <w:sz w:val="24"/>
          <w:lang w:val="de-DE"/>
        </w:rPr>
        <w:t xml:space="preserve"> </w:t>
      </w:r>
      <w:r w:rsidRPr="00592D89">
        <w:rPr>
          <w:sz w:val="24"/>
          <w:lang w:val="de-DE"/>
        </w:rPr>
        <w:t>Enthält Sucrose (Zucker)</w:t>
      </w:r>
      <w:r>
        <w:rPr>
          <w:sz w:val="24"/>
          <w:lang w:val="de-DE"/>
        </w:rPr>
        <w:t xml:space="preserve">. </w:t>
      </w:r>
      <w:r w:rsidRPr="00592D89">
        <w:rPr>
          <w:b/>
          <w:sz w:val="24"/>
          <w:lang w:val="de-DE"/>
        </w:rPr>
        <w:t>Nebenwirkungen:</w:t>
      </w:r>
      <w:r w:rsidRPr="00592D89">
        <w:rPr>
          <w:sz w:val="24"/>
          <w:lang w:val="de-DE"/>
        </w:rPr>
        <w:t xml:space="preserve"> </w:t>
      </w:r>
      <w:r>
        <w:rPr>
          <w:sz w:val="24"/>
          <w:szCs w:val="24"/>
          <w:lang w:val="de-DE"/>
        </w:rPr>
        <w:t>Infusionsbedingte</w:t>
      </w:r>
      <w:r w:rsidRPr="00977692">
        <w:rPr>
          <w:sz w:val="24"/>
          <w:szCs w:val="24"/>
          <w:lang w:val="de-DE"/>
        </w:rPr>
        <w:t xml:space="preserve"> Nebenwirkungen klingen </w:t>
      </w:r>
      <w:r>
        <w:rPr>
          <w:sz w:val="24"/>
          <w:szCs w:val="24"/>
          <w:lang w:val="de-DE"/>
        </w:rPr>
        <w:t xml:space="preserve">in der Regel </w:t>
      </w:r>
      <w:r w:rsidRPr="00977692">
        <w:rPr>
          <w:sz w:val="24"/>
          <w:szCs w:val="24"/>
          <w:lang w:val="de-DE"/>
        </w:rPr>
        <w:t xml:space="preserve">nach Absetzen der Infusion rasch ab und treten möglicherweise nicht bei jeder weiteren Dosis erneut auf oder können ausbleiben, wenn die Infusion mit niedriger Infusionsrate (über zwei Stunden) verabreicht wird. Dennoch können schwere Infusionsreaktionen einen dauerhaften Abbruch der Therapie mit </w:t>
      </w:r>
      <w:bookmarkStart w:id="0" w:name="OLE_LINK1"/>
      <w:bookmarkStart w:id="1" w:name="OLE_LINK2"/>
      <w:r w:rsidRPr="00977692">
        <w:rPr>
          <w:sz w:val="24"/>
          <w:szCs w:val="24"/>
          <w:lang w:val="de-DE"/>
        </w:rPr>
        <w:t>AmBisome</w:t>
      </w:r>
      <w:bookmarkEnd w:id="0"/>
      <w:bookmarkEnd w:id="1"/>
      <w:r w:rsidRPr="00977692">
        <w:rPr>
          <w:sz w:val="24"/>
          <w:szCs w:val="24"/>
          <w:lang w:val="de-DE"/>
        </w:rPr>
        <w:t xml:space="preserve"> erforderlich machen. </w:t>
      </w:r>
      <w:r w:rsidRPr="009E6576">
        <w:rPr>
          <w:b/>
          <w:sz w:val="24"/>
          <w:lang w:val="de-DE"/>
        </w:rPr>
        <w:t>Sehr häufig (≥ 1/10):</w:t>
      </w:r>
      <w:r w:rsidRPr="00592D89">
        <w:rPr>
          <w:sz w:val="24"/>
          <w:lang w:val="de-DE"/>
        </w:rPr>
        <w:t xml:space="preserve"> Hypokaliämie, Übelkeit, Erbrechen, Schüttelfrost</w:t>
      </w:r>
      <w:r>
        <w:rPr>
          <w:sz w:val="24"/>
          <w:lang w:val="de-DE"/>
        </w:rPr>
        <w:t xml:space="preserve">, </w:t>
      </w:r>
      <w:r w:rsidRPr="00592D89">
        <w:rPr>
          <w:sz w:val="24"/>
          <w:lang w:val="de-DE"/>
        </w:rPr>
        <w:t xml:space="preserve">Fieber. </w:t>
      </w:r>
      <w:r w:rsidRPr="009E6576">
        <w:rPr>
          <w:b/>
          <w:sz w:val="24"/>
          <w:lang w:val="de-DE"/>
        </w:rPr>
        <w:t>Häufig (≥ 1/100 bis &lt; 1/10):</w:t>
      </w:r>
      <w:r w:rsidRPr="00592D89">
        <w:rPr>
          <w:sz w:val="24"/>
          <w:lang w:val="de-DE"/>
        </w:rPr>
        <w:t xml:space="preserve"> Hyponatriämie, Hypokalziämie, Hypomagnesiämie, Hyperglykämie, </w:t>
      </w:r>
      <w:r w:rsidR="00CA6C8E" w:rsidRPr="00CA6C8E">
        <w:rPr>
          <w:sz w:val="24"/>
          <w:lang w:val="de-DE"/>
        </w:rPr>
        <w:t>Hyperkaliämie</w:t>
      </w:r>
      <w:r w:rsidR="00CA6C8E">
        <w:rPr>
          <w:sz w:val="24"/>
          <w:lang w:val="de-DE"/>
        </w:rPr>
        <w:t xml:space="preserve">, </w:t>
      </w:r>
      <w:r w:rsidRPr="00592D89">
        <w:rPr>
          <w:sz w:val="24"/>
          <w:lang w:val="de-DE"/>
        </w:rPr>
        <w:t>Kopfschmerzen, Tachykardie, Hypotonie, Vasodilatation, Erröten (Flushing), Dyspnoe, Diarrhoe, Bauchschmerzen, auffällige Leberwerte, Hyperbilirubinämie, Erhöhung der alkalischen Phosphatase, Exanthem, Rückenschmerzen</w:t>
      </w:r>
      <w:r>
        <w:rPr>
          <w:sz w:val="24"/>
          <w:lang w:val="de-DE"/>
        </w:rPr>
        <w:t xml:space="preserve">, </w:t>
      </w:r>
      <w:r w:rsidRPr="00592D89">
        <w:rPr>
          <w:sz w:val="24"/>
          <w:lang w:val="de-DE"/>
        </w:rPr>
        <w:t>Erhöhung des Kreatininwerts und des Blutharnstoffs, Brust</w:t>
      </w:r>
      <w:r>
        <w:rPr>
          <w:sz w:val="24"/>
          <w:lang w:val="de-DE"/>
        </w:rPr>
        <w:t>schmerzen</w:t>
      </w:r>
      <w:r w:rsidRPr="00592D89">
        <w:rPr>
          <w:sz w:val="24"/>
          <w:lang w:val="de-DE"/>
        </w:rPr>
        <w:t xml:space="preserve">. </w:t>
      </w:r>
      <w:r w:rsidRPr="009E6576">
        <w:rPr>
          <w:b/>
          <w:sz w:val="24"/>
          <w:lang w:val="de-DE"/>
        </w:rPr>
        <w:t>Gelegentlich (≥ 1/1.000 bis &lt; 1/100):</w:t>
      </w:r>
      <w:r w:rsidRPr="00592D89">
        <w:rPr>
          <w:sz w:val="24"/>
          <w:lang w:val="de-DE"/>
        </w:rPr>
        <w:t xml:space="preserve"> Thrombozytopenie, anaphylaktoide Reaktion</w:t>
      </w:r>
      <w:r>
        <w:rPr>
          <w:sz w:val="24"/>
          <w:lang w:val="de-DE"/>
        </w:rPr>
        <w:t>en</w:t>
      </w:r>
      <w:r w:rsidRPr="00592D89">
        <w:rPr>
          <w:sz w:val="24"/>
          <w:lang w:val="de-DE"/>
        </w:rPr>
        <w:t xml:space="preserve">, Konvulsionen, Bronchospasmus. </w:t>
      </w:r>
      <w:r w:rsidRPr="009E6576">
        <w:rPr>
          <w:b/>
          <w:sz w:val="24"/>
          <w:lang w:val="de-DE"/>
        </w:rPr>
        <w:t>Häufigkeit nicht bekannt:</w:t>
      </w:r>
      <w:r w:rsidRPr="00592D89">
        <w:rPr>
          <w:sz w:val="24"/>
          <w:lang w:val="de-DE"/>
        </w:rPr>
        <w:t xml:space="preserve"> Anämie, anaphylaktische Reaktionen, Überempfindlichkeit, Herzstillstand, Arrhythmie, angioneurotisches Ödem</w:t>
      </w:r>
      <w:r>
        <w:rPr>
          <w:sz w:val="24"/>
          <w:lang w:val="de-DE"/>
        </w:rPr>
        <w:t xml:space="preserve">, Rhabdomyolyse (assoziiert mit einer Hypokaliämie), </w:t>
      </w:r>
      <w:r w:rsidRPr="00C349A2">
        <w:rPr>
          <w:sz w:val="24"/>
          <w:lang w:val="de-DE"/>
        </w:rPr>
        <w:t>Schmerzen der Skelettmuskulatur (beschrieben als Arthralgie oder Knochenschmerzen)</w:t>
      </w:r>
      <w:r>
        <w:rPr>
          <w:sz w:val="24"/>
          <w:lang w:val="de-DE"/>
        </w:rPr>
        <w:t xml:space="preserve">, </w:t>
      </w:r>
      <w:r w:rsidRPr="00592D89">
        <w:rPr>
          <w:sz w:val="24"/>
          <w:lang w:val="de-DE"/>
        </w:rPr>
        <w:t>Nierenversagen, Niereninsuffizienz</w:t>
      </w:r>
      <w:r>
        <w:rPr>
          <w:sz w:val="24"/>
          <w:lang w:val="de-DE"/>
        </w:rPr>
        <w:t xml:space="preserve">. </w:t>
      </w:r>
      <w:r w:rsidRPr="003124CC">
        <w:rPr>
          <w:b/>
          <w:sz w:val="24"/>
          <w:lang w:val="de-DE"/>
        </w:rPr>
        <w:t>Darreichungsform und Packungsgrößen:</w:t>
      </w:r>
      <w:r>
        <w:rPr>
          <w:sz w:val="24"/>
          <w:lang w:val="de-DE"/>
        </w:rPr>
        <w:t xml:space="preserve"> Packungen mit 1 und 10 Durchstechflasche(n) mit Pulver zur Herstellung einer Infusions</w:t>
      </w:r>
      <w:r w:rsidR="00B650A0" w:rsidRPr="00B650A0">
        <w:rPr>
          <w:sz w:val="24"/>
          <w:lang w:val="de-DE"/>
        </w:rPr>
        <w:t>dispersion</w:t>
      </w:r>
      <w:r>
        <w:rPr>
          <w:sz w:val="24"/>
          <w:lang w:val="de-DE"/>
        </w:rPr>
        <w:t xml:space="preserve">. </w:t>
      </w:r>
      <w:r w:rsidRPr="00D669E1">
        <w:rPr>
          <w:sz w:val="24"/>
          <w:lang w:val="de-DE"/>
        </w:rPr>
        <w:t>Verschreibungspflichtig</w:t>
      </w:r>
      <w:r>
        <w:rPr>
          <w:sz w:val="24"/>
          <w:lang w:val="de-DE"/>
        </w:rPr>
        <w:t xml:space="preserve">. </w:t>
      </w:r>
      <w:r w:rsidRPr="003124CC">
        <w:rPr>
          <w:b/>
          <w:sz w:val="24"/>
          <w:lang w:val="de-DE"/>
        </w:rPr>
        <w:t>Stand:</w:t>
      </w:r>
      <w:r>
        <w:rPr>
          <w:sz w:val="24"/>
          <w:lang w:val="de-DE"/>
        </w:rPr>
        <w:t xml:space="preserve"> </w:t>
      </w:r>
      <w:r w:rsidR="00B650A0">
        <w:rPr>
          <w:sz w:val="24"/>
          <w:lang w:val="de-DE"/>
        </w:rPr>
        <w:t>März 2024</w:t>
      </w:r>
      <w:r>
        <w:rPr>
          <w:sz w:val="24"/>
          <w:lang w:val="de-DE"/>
        </w:rPr>
        <w:t xml:space="preserve">. </w:t>
      </w:r>
      <w:r>
        <w:rPr>
          <w:b/>
          <w:sz w:val="24"/>
          <w:lang w:val="de-DE"/>
        </w:rPr>
        <w:t>Pharmazeutischer Unternehmer</w:t>
      </w:r>
      <w:r w:rsidRPr="00CD26A8">
        <w:rPr>
          <w:b/>
          <w:sz w:val="24"/>
          <w:lang w:val="de-DE"/>
        </w:rPr>
        <w:t>:</w:t>
      </w:r>
      <w:r>
        <w:rPr>
          <w:b/>
          <w:sz w:val="24"/>
          <w:lang w:val="de-DE"/>
        </w:rPr>
        <w:t xml:space="preserve"> </w:t>
      </w:r>
      <w:r w:rsidRPr="00D669E1">
        <w:rPr>
          <w:sz w:val="24"/>
          <w:lang w:val="de-DE"/>
        </w:rPr>
        <w:t>GILEAD Sciences GmbH, 82152 Martinsried b. München</w:t>
      </w:r>
    </w:p>
    <w:p w14:paraId="12B5434C" w14:textId="77777777" w:rsidR="003822ED" w:rsidRPr="00E8410C" w:rsidRDefault="009703FF">
      <w:pPr>
        <w:rPr>
          <w:lang w:val="de-DE"/>
        </w:rPr>
      </w:pPr>
    </w:p>
    <w:sectPr w:rsidR="003822ED" w:rsidRPr="00E8410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A63D2" w14:textId="77777777" w:rsidR="00CA6C8E" w:rsidRDefault="00CA6C8E" w:rsidP="00CA6C8E">
      <w:r>
        <w:separator/>
      </w:r>
    </w:p>
  </w:endnote>
  <w:endnote w:type="continuationSeparator" w:id="0">
    <w:p w14:paraId="1846E35C" w14:textId="77777777" w:rsidR="00CA6C8E" w:rsidRDefault="00CA6C8E" w:rsidP="00CA6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C738B" w14:textId="77777777" w:rsidR="00CA6C8E" w:rsidRDefault="00CA6C8E" w:rsidP="00CA6C8E">
      <w:r>
        <w:separator/>
      </w:r>
    </w:p>
  </w:footnote>
  <w:footnote w:type="continuationSeparator" w:id="0">
    <w:p w14:paraId="5ED7E147" w14:textId="77777777" w:rsidR="00CA6C8E" w:rsidRDefault="00CA6C8E" w:rsidP="00CA6C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formatting="1" w:enforcement="1" w:cryptProviderType="rsaAES" w:cryptAlgorithmClass="hash" w:cryptAlgorithmType="typeAny" w:cryptAlgorithmSid="14" w:cryptSpinCount="100000" w:hash="7sz9S77EZ3kRQPNpbel0A8ftgmI86IBp7ju9g2NnMVQ1u2hMXY/Ba5wOApy4yb6Ie6qPWAilr1sZn7fgOndAbg==" w:salt="RGngMiYuaKs7Cx2P/jEn2A=="/>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8410C"/>
    <w:rsid w:val="00167740"/>
    <w:rsid w:val="002B2B04"/>
    <w:rsid w:val="002F0492"/>
    <w:rsid w:val="00307C3C"/>
    <w:rsid w:val="003907BF"/>
    <w:rsid w:val="00392775"/>
    <w:rsid w:val="004A1C40"/>
    <w:rsid w:val="00715BFB"/>
    <w:rsid w:val="007844E6"/>
    <w:rsid w:val="007B0BA4"/>
    <w:rsid w:val="009703FF"/>
    <w:rsid w:val="00A56D0F"/>
    <w:rsid w:val="00A6186A"/>
    <w:rsid w:val="00B650A0"/>
    <w:rsid w:val="00CA6C8E"/>
    <w:rsid w:val="00E8410C"/>
    <w:rsid w:val="00F229FF"/>
    <w:rsid w:val="00F644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89AB0F"/>
  <w15:chartTrackingRefBased/>
  <w15:docId w15:val="{A906D018-9634-4D23-AB61-A551894E2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410C"/>
    <w:pPr>
      <w:spacing w:after="0" w:line="240" w:lineRule="auto"/>
    </w:pPr>
    <w:rPr>
      <w:rFonts w:ascii="Times New Roman" w:eastAsia="Times New Roman" w:hAnsi="Times New Roman" w:cs="Times New Roman"/>
      <w:sz w:val="20"/>
      <w:szCs w:val="20"/>
      <w:lang w:val="en-GB"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A1C4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A1C40"/>
    <w:rPr>
      <w:rFonts w:ascii="Segoe UI" w:eastAsia="Times New Roman" w:hAnsi="Segoe UI" w:cs="Segoe UI"/>
      <w:sz w:val="18"/>
      <w:szCs w:val="18"/>
      <w:lang w:val="en-GB" w:eastAsia="de-DE"/>
    </w:rPr>
  </w:style>
  <w:style w:type="paragraph" w:styleId="berarbeitung">
    <w:name w:val="Revision"/>
    <w:hidden/>
    <w:uiPriority w:val="99"/>
    <w:semiHidden/>
    <w:rsid w:val="00B650A0"/>
    <w:pPr>
      <w:spacing w:after="0" w:line="240" w:lineRule="auto"/>
    </w:pPr>
    <w:rPr>
      <w:rFonts w:ascii="Times New Roman" w:eastAsia="Times New Roman" w:hAnsi="Times New Roman" w:cs="Times New Roman"/>
      <w:sz w:val="20"/>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2452</Characters>
  <DocSecurity>8</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2024-03-08T14:05:00Z</dcterms:created>
  <dcterms:modified xsi:type="dcterms:W3CDTF">2024-04-16T11:12:00Z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8c1083-8924-401d-97ae-40f5eed0fcd8_Enabled">
    <vt:lpwstr>true</vt:lpwstr>
  </property>
  <property fmtid="{D5CDD505-2E9C-101B-9397-08002B2CF9AE}" pid="3" name="MSIP_Label_418c1083-8924-401d-97ae-40f5eed0fcd8_SetDate">
    <vt:lpwstr>2024-03-08T13:28:50Z</vt:lpwstr>
  </property>
  <property fmtid="{D5CDD505-2E9C-101B-9397-08002B2CF9AE}" pid="4" name="MSIP_Label_418c1083-8924-401d-97ae-40f5eed0fcd8_Method">
    <vt:lpwstr>Standard</vt:lpwstr>
  </property>
  <property fmtid="{D5CDD505-2E9C-101B-9397-08002B2CF9AE}" pid="5" name="MSIP_Label_418c1083-8924-401d-97ae-40f5eed0fcd8_Name">
    <vt:lpwstr>418c1083-8924-401d-97ae-40f5eed0fcd8</vt:lpwstr>
  </property>
  <property fmtid="{D5CDD505-2E9C-101B-9397-08002B2CF9AE}" pid="6" name="MSIP_Label_418c1083-8924-401d-97ae-40f5eed0fcd8_SiteId">
    <vt:lpwstr>a5a8bcaa-3292-41e6-b735-5e8b21f4dbfd</vt:lpwstr>
  </property>
  <property fmtid="{D5CDD505-2E9C-101B-9397-08002B2CF9AE}" pid="7" name="MSIP_Label_418c1083-8924-401d-97ae-40f5eed0fcd8_ActionId">
    <vt:lpwstr>1f1adb6c-3968-4ff7-a93c-bc084270ac3c</vt:lpwstr>
  </property>
  <property fmtid="{D5CDD505-2E9C-101B-9397-08002B2CF9AE}" pid="8" name="MSIP_Label_418c1083-8924-401d-97ae-40f5eed0fcd8_ContentBits">
    <vt:lpwstr>0</vt:lpwstr>
  </property>
</Properties>
</file>